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64865" cy="53225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865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44"/>
        <w:ind w:left="126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Required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Notice Under</w:t>
      </w:r>
      <w:r>
        <w:rPr>
          <w:rFonts w:ascii="Calibri" w:hAnsi="Calibri" w:cs="Calibri" w:eastAsia="Calibri"/>
          <w:b/>
          <w:bCs/>
          <w:spacing w:val="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the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Texas Health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Safety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Code,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Sec.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181.154</w:t>
      </w:r>
      <w:r>
        <w:rPr>
          <w:rFonts w:ascii="Calibri" w:hAnsi="Calibri" w:cs="Calibri" w:eastAsia="Calibri"/>
          <w:b/>
          <w:bCs/>
          <w:spacing w:val="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 </w:t>
      </w:r>
      <w:r>
        <w:rPr>
          <w:rFonts w:ascii="Calibri" w:hAnsi="Calibri" w:cs="Calibri" w:eastAsia="Calibri"/>
          <w:b/>
          <w:bCs/>
          <w:sz w:val="28"/>
          <w:szCs w:val="28"/>
        </w:rPr>
        <w:t>HB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300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39" w:lineRule="auto"/>
        <w:ind w:right="117"/>
        <w:jc w:val="left"/>
      </w:pPr>
      <w:r>
        <w:rPr/>
        <w:t>Because</w:t>
      </w:r>
      <w:r>
        <w:rPr>
          <w:spacing w:val="-2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</w:rPr>
        <w:t>Disability</w:t>
      </w:r>
      <w:r>
        <w:rPr>
          <w:rFonts w:ascii="Calibri" w:hAnsi="Calibri" w:cs="Calibri" w:eastAsia="Calibri"/>
          <w:b/>
          <w:bCs/>
          <w:color w:val="1F487C"/>
          <w:spacing w:val="-2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</w:rPr>
        <w:t>Rights</w:t>
      </w:r>
      <w:r>
        <w:rPr>
          <w:rFonts w:ascii="Calibri" w:hAnsi="Calibri" w:cs="Calibri" w:eastAsia="Calibri"/>
          <w:b/>
          <w:bCs/>
          <w:color w:val="1F487C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</w:rPr>
        <w:t>Texas</w:t>
      </w:r>
      <w:r>
        <w:rPr>
          <w:rFonts w:ascii="Calibri" w:hAnsi="Calibri" w:cs="Calibri" w:eastAsia="Calibri"/>
          <w:b/>
          <w:bCs/>
          <w:color w:val="1F487C"/>
          <w:spacing w:val="3"/>
        </w:rPr>
        <w:t> </w:t>
      </w:r>
      <w:r>
        <w:rPr>
          <w:spacing w:val="-1"/>
        </w:rPr>
        <w:t>gathers,</w:t>
      </w:r>
      <w:r>
        <w:rPr/>
        <w:t> </w:t>
      </w:r>
      <w:r>
        <w:rPr>
          <w:spacing w:val="-1"/>
        </w:rPr>
        <w:t>stores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electronically</w:t>
      </w:r>
      <w:r>
        <w:rPr>
          <w:spacing w:val="-2"/>
        </w:rPr>
        <w:t> </w:t>
      </w:r>
      <w:r>
        <w:rPr>
          <w:spacing w:val="-1"/>
        </w:rPr>
        <w:t>transmits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(Protected</w:t>
      </w:r>
      <w:r>
        <w:rPr>
          <w:spacing w:val="75"/>
        </w:rPr>
        <w:t> </w:t>
      </w:r>
      <w:r>
        <w:rPr>
          <w:spacing w:val="-1"/>
        </w:rPr>
        <w:t>Health Information</w:t>
      </w:r>
      <w:r>
        <w:rPr/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PHI),</w:t>
      </w:r>
      <w:r>
        <w:rPr>
          <w:spacing w:val="-5"/>
        </w:rPr>
        <w:t> </w:t>
      </w:r>
      <w:r>
        <w:rPr/>
        <w:t>we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required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post</w:t>
      </w:r>
      <w:r>
        <w:rPr/>
        <w:t> a </w:t>
      </w:r>
      <w:r>
        <w:rPr>
          <w:spacing w:val="-1"/>
        </w:rPr>
        <w:t>notice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clients</w:t>
      </w:r>
      <w:r>
        <w:rPr/>
        <w:t> </w:t>
      </w:r>
      <w:r>
        <w:rPr>
          <w:spacing w:val="-1"/>
        </w:rPr>
        <w:t>that</w:t>
      </w:r>
      <w:r>
        <w:rPr/>
        <w:t> their</w:t>
      </w:r>
      <w:r>
        <w:rPr>
          <w:spacing w:val="-3"/>
        </w:rPr>
        <w:t> </w:t>
      </w:r>
      <w:r>
        <w:rPr>
          <w:spacing w:val="-1"/>
        </w:rPr>
        <w:t>protected health</w:t>
      </w:r>
      <w:r>
        <w:rPr>
          <w:spacing w:val="63"/>
        </w:rPr>
        <w:t> </w:t>
      </w:r>
      <w:r>
        <w:rPr>
          <w:spacing w:val="-1"/>
        </w:rPr>
        <w:t>information </w:t>
      </w:r>
      <w:r>
        <w:rPr>
          <w:spacing w:val="-2"/>
        </w:rPr>
        <w:t>is</w:t>
      </w:r>
      <w:r>
        <w:rPr/>
        <w:t> </w:t>
      </w:r>
      <w:r>
        <w:rPr>
          <w:spacing w:val="-2"/>
        </w:rPr>
        <w:t>subject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disclosure.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17"/>
        <w:jc w:val="left"/>
      </w:pPr>
      <w:r>
        <w:rPr>
          <w:rFonts w:ascii="Calibri" w:hAnsi="Calibri" w:cs="Calibri" w:eastAsia="Calibri"/>
        </w:rPr>
        <w:t>Texas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Federal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Law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prohibits</w:t>
      </w:r>
      <w:r>
        <w:rPr>
          <w:rFonts w:ascii="Calibri" w:hAnsi="Calibri" w:cs="Calibri" w:eastAsia="Calibri"/>
        </w:rPr>
        <w:t> any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electronic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disclosure</w:t>
      </w:r>
      <w:r>
        <w:rPr>
          <w:rFonts w:ascii="Calibri" w:hAnsi="Calibri" w:cs="Calibri" w:eastAsia="Calibri"/>
        </w:rPr>
        <w:t> 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 </w:t>
      </w:r>
      <w:r>
        <w:rPr>
          <w:rFonts w:ascii="Calibri" w:hAnsi="Calibri" w:cs="Calibri" w:eastAsia="Calibri"/>
          <w:spacing w:val="-1"/>
        </w:rPr>
        <w:t>client’s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protected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health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information to</w:t>
      </w:r>
      <w:r>
        <w:rPr>
          <w:rFonts w:ascii="Calibri" w:hAnsi="Calibri" w:cs="Calibri" w:eastAsia="Calibri"/>
          <w:spacing w:val="61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without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separate</w:t>
      </w:r>
      <w:r>
        <w:rPr/>
        <w:t> </w:t>
      </w:r>
      <w:r>
        <w:rPr>
          <w:spacing w:val="-1"/>
        </w:rPr>
        <w:t>authorization from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disclosure.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authorization for</w:t>
      </w:r>
      <w:r>
        <w:rPr>
          <w:spacing w:val="75"/>
        </w:rPr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made</w:t>
      </w:r>
      <w:r>
        <w:rPr/>
        <w:t> in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/>
        <w:t>or in</w:t>
      </w:r>
      <w:r>
        <w:rPr>
          <w:spacing w:val="-3"/>
        </w:rPr>
        <w:t> </w:t>
      </w:r>
      <w:r>
        <w:rPr/>
        <w:t>oral</w:t>
      </w:r>
      <w:r>
        <w:rPr>
          <w:spacing w:val="-1"/>
        </w:rPr>
        <w:t> </w:t>
      </w:r>
      <w:r>
        <w:rPr>
          <w:spacing w:val="-2"/>
        </w:rPr>
        <w:t>form</w:t>
      </w:r>
      <w:r>
        <w:rPr>
          <w:spacing w:val="1"/>
        </w:rPr>
        <w:t> </w:t>
      </w:r>
      <w:r>
        <w:rPr/>
        <w:t>if it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documented</w:t>
      </w:r>
      <w:r>
        <w:rPr/>
        <w:t> in</w:t>
      </w:r>
      <w:r>
        <w:rPr>
          <w:spacing w:val="-1"/>
        </w:rPr>
        <w:t> writing by </w:t>
      </w:r>
      <w:r>
        <w:rPr/>
        <w:t>our</w:t>
      </w:r>
      <w:r>
        <w:rPr>
          <w:spacing w:val="49"/>
        </w:rPr>
        <w:t> </w:t>
      </w:r>
      <w:r>
        <w:rPr/>
        <w:t>law</w:t>
      </w:r>
      <w:r>
        <w:rPr>
          <w:spacing w:val="-1"/>
        </w:rPr>
        <w:t> firm.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17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Authorization for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disclosure</w:t>
      </w:r>
      <w:r>
        <w:rPr/>
        <w:t> of </w:t>
      </w:r>
      <w:r>
        <w:rPr>
          <w:spacing w:val="-1"/>
        </w:rPr>
        <w:t>protected health</w:t>
      </w:r>
      <w:r>
        <w:rPr>
          <w:spacing w:val="1"/>
        </w:rPr>
        <w:t> </w:t>
      </w:r>
      <w:r>
        <w:rPr>
          <w:spacing w:val="-1"/>
        </w:rPr>
        <w:t>information </w:t>
      </w:r>
      <w:r>
        <w:rPr>
          <w:spacing w:val="-2"/>
        </w:rPr>
        <w:t>described</w:t>
      </w:r>
      <w:r>
        <w:rPr/>
        <w:t> </w:t>
      </w:r>
      <w:r>
        <w:rPr>
          <w:spacing w:val="-1"/>
        </w:rPr>
        <w:t>above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65"/>
        </w:rPr>
        <w:t> </w:t>
      </w:r>
      <w:r>
        <w:rPr>
          <w:spacing w:val="-1"/>
        </w:rPr>
        <w:t>required </w:t>
      </w:r>
      <w:r>
        <w:rPr/>
        <w:t>if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disclosure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made: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-3"/>
        </w:rPr>
        <w:t> </w:t>
      </w:r>
      <w:r>
        <w:rPr>
          <w:spacing w:val="-1"/>
        </w:rPr>
        <w:t>covered</w:t>
      </w:r>
      <w:r>
        <w:rPr>
          <w:spacing w:val="-3"/>
        </w:rPr>
        <w:t> </w:t>
      </w:r>
      <w:r>
        <w:rPr/>
        <w:t>entity,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term </w:t>
      </w:r>
      <w:r>
        <w:rPr/>
        <w:t>is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Section 181.001,</w:t>
      </w:r>
      <w:r>
        <w:rPr>
          <w:spacing w:val="57"/>
        </w:rPr>
        <w:t> </w:t>
      </w:r>
      <w:r>
        <w:rPr/>
        <w:t>or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covered</w:t>
      </w:r>
      <w:r>
        <w:rPr/>
        <w:t> </w:t>
      </w:r>
      <w:r>
        <w:rPr>
          <w:spacing w:val="-1"/>
        </w:rPr>
        <w:t>entity,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defined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Section 602.001,</w:t>
      </w:r>
      <w:r>
        <w:rPr/>
        <w:t> </w:t>
      </w:r>
      <w:r>
        <w:rPr>
          <w:spacing w:val="-1"/>
        </w:rPr>
        <w:t>Insurance</w:t>
      </w:r>
      <w:r>
        <w:rPr/>
        <w:t> </w:t>
      </w:r>
      <w:r>
        <w:rPr>
          <w:spacing w:val="-1"/>
        </w:rPr>
        <w:t>Code,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>
          <w:spacing w:val="-1"/>
        </w:rPr>
        <w:t>of:</w:t>
      </w:r>
      <w:r>
        <w:rPr>
          <w:spacing w:val="43"/>
        </w:rPr>
        <w:t> </w:t>
      </w:r>
      <w:r>
        <w:rPr>
          <w:spacing w:val="-1"/>
        </w:rPr>
        <w:t>treatment;</w:t>
      </w:r>
      <w:r>
        <w:rPr/>
        <w:t> </w:t>
      </w:r>
      <w:r>
        <w:rPr>
          <w:spacing w:val="-1"/>
        </w:rPr>
        <w:t>payment;</w:t>
      </w:r>
      <w:r>
        <w:rPr>
          <w:spacing w:val="-2"/>
        </w:rPr>
        <w:t> </w:t>
      </w:r>
      <w:r>
        <w:rPr>
          <w:spacing w:val="-1"/>
        </w:rPr>
        <w:t>health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operations;</w:t>
      </w:r>
      <w:r>
        <w:rPr/>
        <w:t> </w:t>
      </w:r>
      <w:r>
        <w:rPr>
          <w:spacing w:val="-2"/>
        </w:rPr>
        <w:t>performing</w:t>
      </w:r>
      <w:r>
        <w:rPr>
          <w:spacing w:val="-1"/>
        </w:rPr>
        <w:t> </w:t>
      </w:r>
      <w:r>
        <w:rPr/>
        <w:t>an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maintenance</w:t>
      </w:r>
      <w:r>
        <w:rPr>
          <w:spacing w:val="61"/>
        </w:rPr>
        <w:t> </w:t>
      </w:r>
      <w:r>
        <w:rPr>
          <w:spacing w:val="-1"/>
        </w:rPr>
        <w:t>organization function </w:t>
      </w:r>
      <w:r>
        <w:rPr>
          <w:spacing w:val="-2"/>
        </w:rPr>
        <w:t>described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602.053,</w:t>
      </w:r>
      <w:r>
        <w:rPr/>
        <w:t> </w:t>
      </w:r>
      <w:r>
        <w:rPr>
          <w:spacing w:val="-1"/>
        </w:rPr>
        <w:t>Insurance</w:t>
      </w:r>
      <w:r>
        <w:rPr>
          <w:spacing w:val="1"/>
        </w:rPr>
        <w:t> </w:t>
      </w:r>
      <w:r>
        <w:rPr>
          <w:spacing w:val="-1"/>
        </w:rPr>
        <w:t>Code; </w:t>
      </w:r>
      <w:r>
        <w:rPr/>
        <w:t>or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otherwise authorized</w:t>
      </w:r>
      <w:r>
        <w:rPr/>
        <w:t> or</w:t>
      </w:r>
      <w:r>
        <w:rPr>
          <w:spacing w:val="79"/>
        </w:rPr>
        <w:t> </w:t>
      </w:r>
      <w:r>
        <w:rPr>
          <w:spacing w:val="-1"/>
        </w:rPr>
        <w:t>required by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federal</w:t>
      </w:r>
      <w:r>
        <w:rPr>
          <w:spacing w:val="-3"/>
        </w:rPr>
        <w:t> </w:t>
      </w:r>
      <w:r>
        <w:rPr/>
        <w:t>law.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words,</w:t>
      </w:r>
      <w:r>
        <w:rPr/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release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necessary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electronic</w:t>
      </w:r>
      <w:r>
        <w:rPr>
          <w:spacing w:val="-3"/>
        </w:rPr>
        <w:t> </w:t>
      </w:r>
      <w:r>
        <w:rPr>
          <w:spacing w:val="-1"/>
        </w:rPr>
        <w:t>disclosure</w:t>
      </w:r>
      <w:r>
        <w:rPr>
          <w:spacing w:val="75"/>
        </w:rPr>
        <w:t> </w:t>
      </w:r>
      <w:r>
        <w:rPr/>
        <w:t>to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/>
        <w:t>care </w:t>
      </w:r>
      <w:r>
        <w:rPr>
          <w:spacing w:val="-1"/>
        </w:rPr>
        <w:t>providers,</w:t>
      </w:r>
      <w:r>
        <w:rPr/>
        <w:t> </w:t>
      </w:r>
      <w:r>
        <w:rPr>
          <w:spacing w:val="-1"/>
        </w:rPr>
        <w:t>insurance</w:t>
      </w:r>
      <w:r>
        <w:rPr>
          <w:spacing w:val="-2"/>
        </w:rPr>
        <w:t> </w:t>
      </w:r>
      <w:r>
        <w:rPr>
          <w:spacing w:val="-1"/>
        </w:rPr>
        <w:t>companies,</w:t>
      </w:r>
      <w:r>
        <w:rPr>
          <w:spacing w:val="-2"/>
        </w:rPr>
        <w:t> </w:t>
      </w:r>
      <w:r>
        <w:rPr>
          <w:spacing w:val="-1"/>
        </w:rPr>
        <w:t>governmental agencies,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defense</w:t>
      </w:r>
      <w:r>
        <w:rPr>
          <w:spacing w:val="1"/>
        </w:rPr>
        <w:t> </w:t>
      </w:r>
      <w:r>
        <w:rPr>
          <w:spacing w:val="-1"/>
        </w:rPr>
        <w:t>lawyers</w:t>
      </w:r>
      <w:r>
        <w:rPr>
          <w:spacing w:val="59"/>
        </w:rPr>
        <w:t> </w:t>
      </w:r>
      <w:r>
        <w:rPr>
          <w:spacing w:val="-1"/>
        </w:rPr>
        <w:t>representing adverse</w:t>
      </w:r>
      <w:r>
        <w:rPr/>
        <w:t> </w:t>
      </w:r>
      <w:r>
        <w:rPr>
          <w:spacing w:val="-1"/>
        </w:rPr>
        <w:t>parties.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3" w:right="0"/>
        <w:jc w:val="center"/>
      </w:pPr>
      <w:r>
        <w:rPr/>
        <w:t># #</w:t>
      </w:r>
      <w:r>
        <w:rPr>
          <w:spacing w:val="-2"/>
        </w:rPr>
        <w:t> </w:t>
      </w:r>
      <w:r>
        <w:rPr/>
        <w:t>#</w:t>
      </w:r>
    </w:p>
    <w:sectPr>
      <w:type w:val="continuous"/>
      <w:pgSz w:w="12240" w:h="15840"/>
      <w:pgMar w:top="9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esurtees</dc:creator>
  <dcterms:created xsi:type="dcterms:W3CDTF">2018-08-20T14:18:24Z</dcterms:created>
  <dcterms:modified xsi:type="dcterms:W3CDTF">2018-08-20T14:18:24Z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2018-08-20T00:00:00Z</vt:filetime>
  </property>
</Properties>
</file>